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76" w:rsidRPr="00675356" w:rsidRDefault="00071276" w:rsidP="00677862">
      <w:pPr>
        <w:tabs>
          <w:tab w:val="left" w:pos="4962"/>
        </w:tabs>
        <w:spacing w:after="0" w:line="240" w:lineRule="auto"/>
        <w:ind w:left="5529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</w:t>
      </w:r>
    </w:p>
    <w:p w:rsidR="00071276" w:rsidRPr="00675356" w:rsidRDefault="00071276" w:rsidP="00677862">
      <w:pPr>
        <w:tabs>
          <w:tab w:val="left" w:pos="4962"/>
        </w:tabs>
        <w:spacing w:after="0" w:line="240" w:lineRule="auto"/>
        <w:ind w:left="5529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Положению об оплате труда работников Муниципального автономного дошкольного</w:t>
      </w:r>
    </w:p>
    <w:p w:rsidR="00071276" w:rsidRPr="00675356" w:rsidRDefault="00071276" w:rsidP="00677862">
      <w:pPr>
        <w:spacing w:after="0" w:line="240" w:lineRule="auto"/>
        <w:ind w:left="5529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образовательного учреждения  </w:t>
      </w:r>
    </w:p>
    <w:p w:rsidR="00071276" w:rsidRPr="00675356" w:rsidRDefault="00071276" w:rsidP="00677862">
      <w:pPr>
        <w:spacing w:after="0" w:line="240" w:lineRule="auto"/>
        <w:ind w:left="5529" w:right="-426"/>
        <w:jc w:val="both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«Детский сад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35725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Start"/>
      <w:r w:rsidR="0035725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.В</w:t>
      </w:r>
      <w:proofErr w:type="gramEnd"/>
      <w:r w:rsidR="0035725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ерхний</w:t>
      </w:r>
      <w:proofErr w:type="spellEnd"/>
      <w:r w:rsidR="0035725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  <w:r w:rsidRPr="0067535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071276" w:rsidRPr="00675356" w:rsidRDefault="00071276" w:rsidP="00071276">
      <w:pPr>
        <w:pStyle w:val="Style2"/>
        <w:widowControl/>
        <w:spacing w:before="5" w:line="240" w:lineRule="auto"/>
        <w:jc w:val="center"/>
        <w:rPr>
          <w:rStyle w:val="FontStyle11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pStyle w:val="Style2"/>
        <w:widowControl/>
        <w:spacing w:before="5" w:line="240" w:lineRule="auto"/>
        <w:rPr>
          <w:rStyle w:val="FontStyle11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pStyle w:val="Style2"/>
        <w:widowControl/>
        <w:spacing w:line="240" w:lineRule="auto"/>
        <w:jc w:val="center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>ПОЛОЖЕНИЕ</w:t>
      </w: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 xml:space="preserve">о порядке назначения и выплаты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надбавки за стаж непрерывной работы в организациях системы образования</w:t>
      </w:r>
      <w:r w:rsidRPr="00675356">
        <w:rPr>
          <w:rStyle w:val="FontStyle11"/>
          <w:color w:val="404040" w:themeColor="text1" w:themeTint="BF"/>
          <w:sz w:val="28"/>
          <w:szCs w:val="28"/>
        </w:rPr>
        <w:t xml:space="preserve"> работникам </w:t>
      </w: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 дошкольного образовательного учреждения</w:t>
      </w: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</w:t>
      </w:r>
      <w:proofErr w:type="spellStart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1. Общие положения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1.1. Настоящее Положение определяет порядок назначения и выплаты надбавки за стаж непрерывной работы в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организациях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(далее – надбавка).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1.2. Выплата надбавки производится дифференцированно в зависимости от периода непрерывной работы в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организациях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образования, дающего право на получение этой надбавки, в следующих размерах:</w:t>
      </w:r>
    </w:p>
    <w:p w:rsidR="00071276" w:rsidRPr="00675356" w:rsidRDefault="00071276" w:rsidP="0007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1.2.1. Руководителю при стаже непрерывной работы: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до 3 лет –10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от 3 до 5 лет – 20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от 5 до 10 лет – 30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свыше 10 лет – 35 процентов.</w:t>
      </w:r>
    </w:p>
    <w:p w:rsidR="00071276" w:rsidRPr="00675356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1.2.2. Педагогическим работникам при стаже непрерывной работы: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до 2 лет – 15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от 2 до 5 лет – 20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от 5 до 10 лет – 25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свыше 10 лет – 35 процентов.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1.2.4. Другим работникам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учреждений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при стаже непрерывной работы: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до 5 лет – 10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от 5 до 10 лет – 15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от 10 до 15 лет – 20 процентов;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свыше 15 лет – 30 процентов.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1.3. Выплата надбавки производится ежемесячно.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2. Исчисление стажа работы, дающего право на получение надбавки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2.1. Для назначения надбавки за стаж непрерывной работы определяется по продолжительности непрерывной работы в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организациях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lastRenderedPageBreak/>
        <w:t xml:space="preserve">системы образования. В стаж работы, дающий право на получение надбавки, засчитываются периоды работы </w:t>
      </w:r>
      <w:proofErr w:type="gramStart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в</w:t>
      </w:r>
      <w:proofErr w:type="gramEnd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: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дошкольных образовательных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организациях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>;</w:t>
      </w:r>
    </w:p>
    <w:p w:rsidR="00071276" w:rsidRPr="00675356" w:rsidRDefault="00071276" w:rsidP="00071276">
      <w:pPr>
        <w:pStyle w:val="Style3"/>
        <w:widowControl/>
        <w:spacing w:before="5" w:line="240" w:lineRule="auto"/>
        <w:ind w:firstLine="0"/>
        <w:jc w:val="left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общеобразовательных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организациях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>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профессиональных образовательных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организациях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>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образовательных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организациях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высшего образования;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организациях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дополнительного образования;</w:t>
      </w:r>
    </w:p>
    <w:p w:rsidR="00071276" w:rsidRPr="00675356" w:rsidRDefault="00071276" w:rsidP="00071276">
      <w:pPr>
        <w:pStyle w:val="Style3"/>
        <w:widowControl/>
        <w:spacing w:before="5" w:line="240" w:lineRule="auto"/>
        <w:ind w:firstLine="0"/>
        <w:jc w:val="left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организациях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дополнительного профессионального образования;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организациях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>, осуществляющих обучение для детей-сирот и детей, оставшихся без попечения родителей;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Краевом государственном бюджетном общеобразовательном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учреждении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"Хабаровский краевой центр психолого-педагогической, медицинской и социальной помощи";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Краевом государственном бюджетном образовательном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учреждении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для детей, нуждающихся в психолого-педагогической и медико-социальной помощи "Краевой центр психолого-медико-социального сопровождения";</w:t>
      </w:r>
    </w:p>
    <w:p w:rsidR="00071276" w:rsidRPr="00675356" w:rsidRDefault="00071276" w:rsidP="00071276">
      <w:pPr>
        <w:pStyle w:val="Style3"/>
        <w:widowControl/>
        <w:spacing w:before="5"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Краевом государственном казенном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учреждении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"Региональный центр оценки качества образования";</w:t>
      </w:r>
    </w:p>
    <w:p w:rsidR="00071276" w:rsidRPr="00675356" w:rsidRDefault="00071276" w:rsidP="00071276">
      <w:pPr>
        <w:pStyle w:val="Style3"/>
        <w:widowControl/>
        <w:spacing w:before="5"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Краевом государственном казенном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учреждении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"Центр бухгалтерского учета и ресурсного обеспечения образования";</w:t>
      </w:r>
    </w:p>
    <w:p w:rsidR="00071276" w:rsidRPr="00675356" w:rsidRDefault="00071276" w:rsidP="00071276">
      <w:pPr>
        <w:pStyle w:val="Style3"/>
        <w:widowControl/>
        <w:spacing w:before="5"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Краевом государственном казенном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учреждении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"Центр по развитию семейных форм устройства детей, оставшихся без попечения родителей, и </w:t>
      </w:r>
      <w:proofErr w:type="spellStart"/>
      <w:r w:rsidRPr="00675356">
        <w:rPr>
          <w:rStyle w:val="FontStyle12"/>
          <w:color w:val="404040" w:themeColor="text1" w:themeTint="BF"/>
          <w:sz w:val="28"/>
          <w:szCs w:val="28"/>
        </w:rPr>
        <w:t>постинтернатному</w:t>
      </w:r>
      <w:proofErr w:type="spell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сопровождению";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министерстве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образования и науки Хабаровского края;</w:t>
      </w:r>
    </w:p>
    <w:p w:rsidR="00071276" w:rsidRPr="00675356" w:rsidRDefault="00071276" w:rsidP="00071276">
      <w:pPr>
        <w:pStyle w:val="Style3"/>
        <w:widowControl/>
        <w:spacing w:line="240" w:lineRule="auto"/>
        <w:ind w:firstLine="0"/>
        <w:rPr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органах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местного самоуправления, осуществляющих управление в сфере образования;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2.2. В стаж непрерывной работы кроме того включаются: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время учебы на курсах усовершенствования или повышения квалификации по специальности;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время нахождения </w:t>
      </w:r>
      <w:proofErr w:type="gramStart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в дополнительном отпуске без сохранения заработной платы по уходу за ребенком до достижения</w:t>
      </w:r>
      <w:proofErr w:type="gramEnd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им возраста 3-х лет женщинам, состоящим в трудовых отношениях с организацией;</w:t>
      </w:r>
    </w:p>
    <w:p w:rsidR="00071276" w:rsidRPr="00675356" w:rsidRDefault="00071276" w:rsidP="00071276">
      <w:pPr>
        <w:pStyle w:val="Style4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Fonts w:eastAsia="Calibri"/>
          <w:color w:val="404040" w:themeColor="text1" w:themeTint="BF"/>
          <w:sz w:val="28"/>
          <w:szCs w:val="28"/>
        </w:rPr>
        <w:t>-</w:t>
      </w:r>
      <w:r w:rsidRPr="00675356">
        <w:rPr>
          <w:rFonts w:eastAsia="Calibri"/>
          <w:color w:val="404040" w:themeColor="text1" w:themeTint="BF"/>
          <w:sz w:val="28"/>
          <w:szCs w:val="28"/>
        </w:rPr>
        <w:tab/>
      </w:r>
      <w:r w:rsidRPr="00675356">
        <w:rPr>
          <w:rStyle w:val="FontStyle12"/>
          <w:color w:val="404040" w:themeColor="text1" w:themeTint="BF"/>
          <w:sz w:val="28"/>
          <w:szCs w:val="28"/>
        </w:rPr>
        <w:t>руководителям, иные периоды работы, опыт и знания по которым необходимы для выполнения обязанностей по занимаемой должности.</w:t>
      </w:r>
    </w:p>
    <w:p w:rsidR="00071276" w:rsidRPr="00675356" w:rsidRDefault="00071276" w:rsidP="00071276">
      <w:pPr>
        <w:pStyle w:val="Style2"/>
        <w:widowControl/>
        <w:spacing w:line="240" w:lineRule="auto"/>
        <w:ind w:firstLine="701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071276" w:rsidRPr="00675356" w:rsidRDefault="00071276" w:rsidP="00071276">
      <w:pPr>
        <w:pStyle w:val="Style2"/>
        <w:widowControl/>
        <w:spacing w:before="67" w:line="240" w:lineRule="auto"/>
        <w:ind w:firstLine="701"/>
        <w:rPr>
          <w:color w:val="404040" w:themeColor="text1" w:themeTint="BF"/>
          <w:sz w:val="28"/>
          <w:szCs w:val="28"/>
        </w:rPr>
      </w:pP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Для педагогических и руководящих работников в стаж работы, дающий право на получение надбавки, засчитываются также другие периоды работы, предусмотренные к зачету в педагогический стаж, в соответствии с приложениями № 1, 2 к Письму Министерства образования и науки Российской Федерации от 26 октября 2004 г. № АФ-947 "О размерах и условиях оплаты труда работников образовательных учреждений в 2005 году".</w:t>
      </w:r>
      <w:proofErr w:type="gramEnd"/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lastRenderedPageBreak/>
        <w:tab/>
        <w:t xml:space="preserve">2.3. Стаж непрерывной работы сохраняется </w:t>
      </w:r>
      <w:proofErr w:type="gramStart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при переходе с работы одной организации системы образования на работу в другую организацию системы образования при условии</w:t>
      </w:r>
      <w:proofErr w:type="gramEnd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2.4. При увольнении из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организации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071276" w:rsidRPr="00675356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Причина увольнения считается уважительной, если трудовой договор расторгнут </w:t>
      </w:r>
      <w:proofErr w:type="gramStart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вследствие</w:t>
      </w:r>
      <w:proofErr w:type="gramEnd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: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необходимости ухода за больными членами семьи (при наличии медицинского заключения) или инвалидами I группы;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избрания на должности, замещаемые по конкурсу.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2.5. Стаж непрерывной работы сохраняется, если перерыв в работе не превысил двух месяцев, при поступлении на работу в другую организацию системы образования лиц, работавших в районах Крайнего Севера и приравненных к ним местностях, после увольнения из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учреждения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по истечении срока трудового договора.</w:t>
      </w:r>
    </w:p>
    <w:p w:rsidR="00071276" w:rsidRPr="00675356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2.6. Стаж непрерывной работы сохраняется, если перерыв в работе не превысил трех месяцев: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при поступлении на работу лиц, высвобождаемых в связи с реорганизацией или ликвидацией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учреждений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либо осуществлением мероприятий по сокращению численности или штата работников;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при поступлении на работу в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учреждение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</w:r>
    </w:p>
    <w:p w:rsidR="00071276" w:rsidRPr="00675356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За работниками, высвобождаемыми в связи с реорганизацией или ликвидацией учреждений системы образования, расположенных в районах Крайнего Севера и местностях, приравненных к районам Крайнего Севера, либо осуществлением мероприятий по сокращению численности или штата работников указанных учреждений системы образования, стаж непрерывной работы сохраняется, если перерыв в работе не превысил шести месяцев.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2.7. При расторжении трудового договора беременными женщинами или матерями, имеющими детей (в том числе усыновленных или 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lastRenderedPageBreak/>
        <w:t>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2.8. Стаж непрерывной работы сохраняется независимо </w:t>
      </w:r>
      <w:proofErr w:type="gramStart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от продолжительности перерыва в работе при поступлении на работу в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организацию</w:t>
      </w:r>
      <w:proofErr w:type="gramEnd"/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после увольнения по собственному желанию в связи с переводом мужа или жены на работу в другую местность;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утрата доверия со стороны администрации к работнику, непосредственно обслуживающему денежные или товарные ценности;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требование профсоюзного органа.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2.10. Во всех случаях, когда при переходе с работы в одном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учреждении 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системы образования на работу в другое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учреждение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2.11.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(или) на основании других надлежаще оформленных документов.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3. Порядок установления стажа работы, дающего право на получение надбавки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3.1. Стаж работы для выплаты надбавки устанавливается приказом руководителя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учреждения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3.2. Основным документом для определения стажа работы, дающего право на получение надбавки, является трудовая книжка.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4. Порядок начисления и выплаты надбавки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4.1. Надбавка устанавливается по основному месту работы.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4.2. Надбавка выплачивается по основной должности исходя из оклада (должностного оклада), ставки заработной платы работника, установленной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основе отнесения занимаемой им должности к ПКГ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и пропорционально установленной учебной нагрузке, но не выше одной ставки.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4.3. Надбавка учитывается во всех случаях исчисления среднего заработка.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4.4. Надбавка выплачивается с момента возникновения права на назначение или изменение размера этой надбавки.</w:t>
      </w:r>
    </w:p>
    <w:p w:rsidR="00071276" w:rsidRPr="00675356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lastRenderedPageBreak/>
        <w:t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4.5.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5. Порядок контроля и ответственность за соблюдение установленного порядка начисления надбавки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5.1. Ответственность за своевременный пересмотр размера надбавки у работников образования возлагается на руководителя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учреждения</w:t>
      </w: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.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порядке.</w:t>
      </w: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center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____________</w:t>
      </w: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71276" w:rsidRPr="00675356" w:rsidRDefault="00071276" w:rsidP="0007127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Заведующий  МАДОУ                                                      </w:t>
      </w:r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А.Л.Ходжер</w:t>
      </w:r>
      <w:r w:rsidR="00DB41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71276" w:rsidRPr="00675356" w:rsidRDefault="00071276" w:rsidP="00071276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</w:t>
      </w:r>
      <w:proofErr w:type="spellStart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3572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                                                      </w:t>
      </w:r>
    </w:p>
    <w:p w:rsidR="00071276" w:rsidRPr="00675356" w:rsidRDefault="00071276" w:rsidP="00071276">
      <w:pPr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:rsidR="00AD5049" w:rsidRDefault="00DB4138"/>
    <w:sectPr w:rsidR="00AD5049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276"/>
    <w:rsid w:val="00030065"/>
    <w:rsid w:val="00071276"/>
    <w:rsid w:val="0012259B"/>
    <w:rsid w:val="00290C18"/>
    <w:rsid w:val="002B6107"/>
    <w:rsid w:val="00357259"/>
    <w:rsid w:val="006278D6"/>
    <w:rsid w:val="00677862"/>
    <w:rsid w:val="008D4978"/>
    <w:rsid w:val="009402A1"/>
    <w:rsid w:val="00A13401"/>
    <w:rsid w:val="00B81C73"/>
    <w:rsid w:val="00C151B6"/>
    <w:rsid w:val="00C275B6"/>
    <w:rsid w:val="00CF4B58"/>
    <w:rsid w:val="00DB4138"/>
    <w:rsid w:val="00E10739"/>
    <w:rsid w:val="00EB4ACD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27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127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712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7127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1276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5</cp:revision>
  <cp:lastPrinted>2017-01-25T05:17:00Z</cp:lastPrinted>
  <dcterms:created xsi:type="dcterms:W3CDTF">2017-02-12T02:02:00Z</dcterms:created>
  <dcterms:modified xsi:type="dcterms:W3CDTF">2017-01-31T01:45:00Z</dcterms:modified>
</cp:coreProperties>
</file>